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01519" w:rsidRDefault="00A01519">
      <w:pPr>
        <w:ind w:firstLine="0"/>
      </w:pPr>
      <w:bookmarkStart w:id="0" w:name="_gjdgxs" w:colFirst="0" w:colLast="0"/>
      <w:bookmarkStart w:id="1" w:name="_GoBack"/>
      <w:bookmarkEnd w:id="0"/>
      <w:bookmarkEnd w:id="1"/>
    </w:p>
    <w:p w14:paraId="00000002" w14:textId="77777777" w:rsidR="00A01519" w:rsidRDefault="00A01519">
      <w:pPr>
        <w:ind w:firstLine="0"/>
      </w:pPr>
    </w:p>
    <w:p w14:paraId="00000003" w14:textId="77777777" w:rsidR="00A01519" w:rsidRDefault="00A01519">
      <w:pPr>
        <w:ind w:firstLine="0"/>
      </w:pPr>
    </w:p>
    <w:p w14:paraId="00000004" w14:textId="77777777" w:rsidR="00A01519" w:rsidRDefault="00A01519">
      <w:pPr>
        <w:ind w:firstLine="0"/>
      </w:pPr>
    </w:p>
    <w:p w14:paraId="00000005" w14:textId="77777777" w:rsidR="00A01519" w:rsidRDefault="00A01519">
      <w:pPr>
        <w:ind w:firstLine="0"/>
      </w:pPr>
    </w:p>
    <w:p w14:paraId="00000006" w14:textId="77777777" w:rsidR="00A01519" w:rsidRDefault="00230340">
      <w:pPr>
        <w:pBdr>
          <w:top w:val="nil"/>
          <w:left w:val="nil"/>
          <w:bottom w:val="nil"/>
          <w:right w:val="nil"/>
          <w:between w:val="nil"/>
        </w:pBdr>
        <w:ind w:firstLine="0"/>
        <w:jc w:val="center"/>
        <w:rPr>
          <w:color w:val="000000"/>
        </w:rPr>
      </w:pPr>
      <w:r>
        <w:rPr>
          <w:color w:val="000000"/>
        </w:rPr>
        <w:t>Greene’s Jewelry Corporation’s case against Jennifer Lawson for the Violation and breach of Confidential Contract and  Agreement  &amp; Jennifer’s counter-suit against Greene’s Corporation for Wrongful Employment Termination</w:t>
      </w:r>
    </w:p>
    <w:p w14:paraId="0000000A" w14:textId="77777777" w:rsidR="00A01519" w:rsidRDefault="00A01519">
      <w:pPr>
        <w:pBdr>
          <w:top w:val="nil"/>
          <w:left w:val="nil"/>
          <w:bottom w:val="nil"/>
          <w:right w:val="nil"/>
          <w:between w:val="nil"/>
        </w:pBdr>
        <w:ind w:firstLine="0"/>
        <w:jc w:val="center"/>
        <w:rPr>
          <w:color w:val="000000"/>
        </w:rPr>
      </w:pPr>
    </w:p>
    <w:p w14:paraId="0000000B" w14:textId="77777777" w:rsidR="00A01519" w:rsidRDefault="00A01519">
      <w:pPr>
        <w:pBdr>
          <w:top w:val="nil"/>
          <w:left w:val="nil"/>
          <w:bottom w:val="nil"/>
          <w:right w:val="nil"/>
          <w:between w:val="nil"/>
        </w:pBdr>
        <w:ind w:firstLine="0"/>
        <w:jc w:val="center"/>
        <w:rPr>
          <w:color w:val="000000"/>
        </w:rPr>
      </w:pPr>
    </w:p>
    <w:p w14:paraId="0000000C" w14:textId="77777777" w:rsidR="00A01519" w:rsidRDefault="00A01519">
      <w:pPr>
        <w:pBdr>
          <w:top w:val="nil"/>
          <w:left w:val="nil"/>
          <w:bottom w:val="nil"/>
          <w:right w:val="nil"/>
          <w:between w:val="nil"/>
        </w:pBdr>
        <w:ind w:firstLine="0"/>
        <w:jc w:val="center"/>
        <w:rPr>
          <w:color w:val="000000"/>
        </w:rPr>
      </w:pPr>
    </w:p>
    <w:p w14:paraId="0000000D" w14:textId="77777777" w:rsidR="00A01519" w:rsidRDefault="00A01519">
      <w:pPr>
        <w:pBdr>
          <w:top w:val="nil"/>
          <w:left w:val="nil"/>
          <w:bottom w:val="nil"/>
          <w:right w:val="nil"/>
          <w:between w:val="nil"/>
        </w:pBdr>
        <w:ind w:firstLine="0"/>
        <w:jc w:val="center"/>
        <w:rPr>
          <w:color w:val="000000"/>
        </w:rPr>
      </w:pPr>
    </w:p>
    <w:p w14:paraId="0000000E" w14:textId="77777777" w:rsidR="00A01519" w:rsidRDefault="00A01519">
      <w:pPr>
        <w:pBdr>
          <w:top w:val="nil"/>
          <w:left w:val="nil"/>
          <w:bottom w:val="nil"/>
          <w:right w:val="nil"/>
          <w:between w:val="nil"/>
        </w:pBdr>
        <w:ind w:firstLine="0"/>
        <w:jc w:val="center"/>
      </w:pPr>
    </w:p>
    <w:p w14:paraId="0000000F" w14:textId="77777777" w:rsidR="00A01519" w:rsidRDefault="00A01519">
      <w:pPr>
        <w:pBdr>
          <w:top w:val="nil"/>
          <w:left w:val="nil"/>
          <w:bottom w:val="nil"/>
          <w:right w:val="nil"/>
          <w:between w:val="nil"/>
        </w:pBdr>
        <w:ind w:firstLine="0"/>
        <w:jc w:val="center"/>
      </w:pPr>
    </w:p>
    <w:p w14:paraId="00000010" w14:textId="77777777" w:rsidR="00A01519" w:rsidRDefault="00A01519">
      <w:pPr>
        <w:pBdr>
          <w:top w:val="nil"/>
          <w:left w:val="nil"/>
          <w:bottom w:val="nil"/>
          <w:right w:val="nil"/>
          <w:between w:val="nil"/>
        </w:pBdr>
        <w:ind w:firstLine="0"/>
        <w:jc w:val="center"/>
      </w:pPr>
    </w:p>
    <w:p w14:paraId="00000011" w14:textId="77777777" w:rsidR="00A01519" w:rsidRDefault="00A01519">
      <w:pPr>
        <w:pBdr>
          <w:top w:val="nil"/>
          <w:left w:val="nil"/>
          <w:bottom w:val="nil"/>
          <w:right w:val="nil"/>
          <w:between w:val="nil"/>
        </w:pBdr>
        <w:ind w:firstLine="0"/>
        <w:jc w:val="center"/>
      </w:pPr>
    </w:p>
    <w:p w14:paraId="00000012" w14:textId="1660714E" w:rsidR="00A01519" w:rsidRDefault="00A01519">
      <w:pPr>
        <w:pBdr>
          <w:top w:val="nil"/>
          <w:left w:val="nil"/>
          <w:bottom w:val="nil"/>
          <w:right w:val="nil"/>
          <w:between w:val="nil"/>
        </w:pBdr>
        <w:ind w:firstLine="0"/>
        <w:jc w:val="center"/>
        <w:rPr>
          <w:color w:val="000000"/>
        </w:rPr>
      </w:pPr>
    </w:p>
    <w:p w14:paraId="0CE78CD7" w14:textId="2A12BCDE" w:rsidR="005D5DAD" w:rsidRDefault="005D5DAD">
      <w:pPr>
        <w:pBdr>
          <w:top w:val="nil"/>
          <w:left w:val="nil"/>
          <w:bottom w:val="nil"/>
          <w:right w:val="nil"/>
          <w:between w:val="nil"/>
        </w:pBdr>
        <w:ind w:firstLine="0"/>
        <w:jc w:val="center"/>
        <w:rPr>
          <w:color w:val="000000"/>
        </w:rPr>
      </w:pPr>
    </w:p>
    <w:p w14:paraId="2BE4634C" w14:textId="73C21B7F" w:rsidR="005D5DAD" w:rsidRDefault="005D5DAD">
      <w:pPr>
        <w:pBdr>
          <w:top w:val="nil"/>
          <w:left w:val="nil"/>
          <w:bottom w:val="nil"/>
          <w:right w:val="nil"/>
          <w:between w:val="nil"/>
        </w:pBdr>
        <w:ind w:firstLine="0"/>
        <w:jc w:val="center"/>
        <w:rPr>
          <w:color w:val="000000"/>
        </w:rPr>
      </w:pPr>
    </w:p>
    <w:p w14:paraId="78A5BC83" w14:textId="093DE4A8" w:rsidR="005D5DAD" w:rsidRDefault="005D5DAD">
      <w:pPr>
        <w:pBdr>
          <w:top w:val="nil"/>
          <w:left w:val="nil"/>
          <w:bottom w:val="nil"/>
          <w:right w:val="nil"/>
          <w:between w:val="nil"/>
        </w:pBdr>
        <w:ind w:firstLine="0"/>
        <w:jc w:val="center"/>
        <w:rPr>
          <w:color w:val="000000"/>
        </w:rPr>
      </w:pPr>
    </w:p>
    <w:p w14:paraId="2679A646" w14:textId="77777777" w:rsidR="005D5DAD" w:rsidRDefault="005D5DAD">
      <w:pPr>
        <w:pBdr>
          <w:top w:val="nil"/>
          <w:left w:val="nil"/>
          <w:bottom w:val="nil"/>
          <w:right w:val="nil"/>
          <w:between w:val="nil"/>
        </w:pBdr>
        <w:ind w:firstLine="0"/>
        <w:jc w:val="center"/>
        <w:rPr>
          <w:color w:val="000000"/>
        </w:rPr>
      </w:pPr>
    </w:p>
    <w:p w14:paraId="00000013" w14:textId="77777777" w:rsidR="00A01519" w:rsidRDefault="00A01519">
      <w:pPr>
        <w:pBdr>
          <w:top w:val="nil"/>
          <w:left w:val="nil"/>
          <w:bottom w:val="nil"/>
          <w:right w:val="nil"/>
          <w:between w:val="nil"/>
        </w:pBdr>
        <w:ind w:firstLine="0"/>
        <w:jc w:val="center"/>
        <w:rPr>
          <w:color w:val="000000"/>
        </w:rPr>
      </w:pPr>
    </w:p>
    <w:p w14:paraId="00000014" w14:textId="77777777" w:rsidR="00A01519" w:rsidRDefault="00A01519">
      <w:pPr>
        <w:pBdr>
          <w:top w:val="nil"/>
          <w:left w:val="nil"/>
          <w:bottom w:val="nil"/>
          <w:right w:val="nil"/>
          <w:between w:val="nil"/>
        </w:pBdr>
        <w:ind w:firstLine="0"/>
        <w:jc w:val="center"/>
        <w:rPr>
          <w:color w:val="000000"/>
        </w:rPr>
      </w:pPr>
    </w:p>
    <w:p w14:paraId="00000015" w14:textId="77777777" w:rsidR="00A01519" w:rsidRDefault="00230340">
      <w:pPr>
        <w:jc w:val="center"/>
        <w:rPr>
          <w:b/>
        </w:rPr>
      </w:pPr>
      <w:r>
        <w:rPr>
          <w:b/>
        </w:rPr>
        <w:lastRenderedPageBreak/>
        <w:t xml:space="preserve">Memo Introduction </w:t>
      </w:r>
    </w:p>
    <w:p w14:paraId="00000016" w14:textId="77777777" w:rsidR="00A01519" w:rsidRDefault="00230340">
      <w:r>
        <w:t>As a member of the legal department at Greene’s Jewelry firm, it is our responsibility and duty to represent our company in any litigation involving the organization. The company filed a case against Lawson Jennifer, who is the firm's former junior executive secretary for development and research department for the breach of a confidential contract. As the organization’s executive secretary Jennifer signed the secret agreement and agreed not to disclose details concerning the methods and procedures used to produce Greene’s Jewelry Company’s Ever-Gold materials. As the firm’s litigants we firmly believe that our company has a robust case against its former executive secretary, Jennifer Lawson because the firm can present the evidence indicating that Jennifer violated a non-disclosure agreement between her and our company, as well as she</w:t>
      </w:r>
      <w:proofErr w:type="gramStart"/>
      <w:r>
        <w:t>,  shared</w:t>
      </w:r>
      <w:proofErr w:type="gramEnd"/>
      <w:r>
        <w:t xml:space="preserve"> the confidential details involving the production of Ever-Gold materials with Howell Limited Company in exchange for employment in Howell. </w:t>
      </w:r>
    </w:p>
    <w:p w14:paraId="00000017" w14:textId="77777777" w:rsidR="00A01519" w:rsidRDefault="00230340">
      <w:r>
        <w:t>Regarding the case highlighted above, Lawson Jennifer is also filing the countersuit against our company for wrongful termination of Jennifer’s employment since she firmly believes that the company sacked her due to the announcement of her pregnancy. However, as lawyers we believe that the company has a solid defense in this suit since it has justified as well as legitimate reasons why they removed the junior executive secretary position and the company’s reason did not violate Jennifer Lawson’s employment rights or any employment contract as well as business laws since the organization followed the due process during Jennifer’s layoff in similar way the company used to eliminate other positions in the past.</w:t>
      </w:r>
    </w:p>
    <w:p w14:paraId="00000018" w14:textId="77777777" w:rsidR="00A01519" w:rsidRDefault="00A01519"/>
    <w:p w14:paraId="00000019" w14:textId="77777777" w:rsidR="00A01519" w:rsidRDefault="00A01519"/>
    <w:p w14:paraId="0000001A" w14:textId="77777777" w:rsidR="00A01519" w:rsidRDefault="00230340">
      <w:pPr>
        <w:jc w:val="center"/>
        <w:rPr>
          <w:b/>
        </w:rPr>
      </w:pPr>
      <w:r>
        <w:rPr>
          <w:b/>
        </w:rPr>
        <w:t xml:space="preserve">The Case of the Client </w:t>
      </w:r>
    </w:p>
    <w:p w14:paraId="0000001B" w14:textId="77777777" w:rsidR="00A01519" w:rsidRDefault="00230340">
      <w:pPr>
        <w:numPr>
          <w:ilvl w:val="0"/>
          <w:numId w:val="1"/>
        </w:numPr>
        <w:pBdr>
          <w:top w:val="nil"/>
          <w:left w:val="nil"/>
          <w:bottom w:val="nil"/>
          <w:right w:val="nil"/>
          <w:between w:val="nil"/>
        </w:pBdr>
        <w:rPr>
          <w:b/>
          <w:color w:val="000000"/>
        </w:rPr>
      </w:pPr>
      <w:r>
        <w:rPr>
          <w:b/>
          <w:color w:val="000000"/>
        </w:rPr>
        <w:lastRenderedPageBreak/>
        <w:t xml:space="preserve">Laws and Facts </w:t>
      </w:r>
    </w:p>
    <w:p w14:paraId="0000001C" w14:textId="77777777" w:rsidR="00A01519" w:rsidRDefault="00230340">
      <w:pPr>
        <w:ind w:firstLine="0"/>
        <w:rPr>
          <w:i/>
        </w:rPr>
      </w:pPr>
      <w:r>
        <w:rPr>
          <w:i/>
        </w:rPr>
        <w:t xml:space="preserve">Wrongful employment termination </w:t>
      </w:r>
    </w:p>
    <w:p w14:paraId="0000001D" w14:textId="77777777" w:rsidR="00A01519" w:rsidRDefault="00230340">
      <w:pPr>
        <w:ind w:left="284"/>
      </w:pPr>
      <w:r>
        <w:t>Ms. Lawson filed a countersuit against our company for wrongful employment termination, indicating that the organization's decision was discriminative under the Pregnancy Discrimination Act as well as Title Seven of the 1964 Social Rights Act. The Title Seven of 1964 Social Rights Act, the federal law forbids employers both in the private and public sector from discriminating against their workers according to the workers’ nationality, race, sex, color, and religion (Leo, 1968). Therefore, Jennifer is suing our company since she believes that the layoff decision was discriminative and was based on her pregnancy condition as well as the risks associated with the situation. However, Jennifer disclosed to the director of HR department Lisa Peele that she is more likely to take more days off due to various complications that she might experience during her pregnancy period.</w:t>
      </w:r>
    </w:p>
    <w:p w14:paraId="0000001E" w14:textId="77777777" w:rsidR="00A01519" w:rsidRDefault="00230340">
      <w:pPr>
        <w:ind w:left="284"/>
      </w:pPr>
      <w:r>
        <w:t xml:space="preserve">Similarly, under Title VII of the Pregnancy Discrimination Act, discrimination against pregnant employees or those with any other medical conditions often constitutes wrongful or unlawful discrimination on sex under Title VII (Rapp &amp; Bernard, 2015). Further, the Act states that women workers affected by pregnancy conditions should be treated like other workers who are in the same situation. Hence discrimination based on pregnancy is prohibited on the employment aspects such as firing, fringe benefits, pay, promotions, job assignments or duties, and training. Additionally, according to the Medical and Family Act, private and public companies must offer their employees to tune of eighty-four days of job security time off and unpaid for childbirth (Steven, 2015). On the contrary, Lawson’s claims do not have substance because her employment terminations were primarily due to business reasons to layoff all the junior executive secretaries and as well as remove the position entirely in order </w:t>
      </w:r>
      <w:r>
        <w:lastRenderedPageBreak/>
        <w:t>to reduce the recurrent expenditure of the organization since it will decrease the payroll expenses and other related costs.</w:t>
      </w:r>
    </w:p>
    <w:p w14:paraId="0000001F" w14:textId="77777777" w:rsidR="00A01519" w:rsidRDefault="00230340">
      <w:pPr>
        <w:ind w:firstLine="0"/>
        <w:rPr>
          <w:i/>
        </w:rPr>
      </w:pPr>
      <w:r>
        <w:rPr>
          <w:i/>
        </w:rPr>
        <w:t xml:space="preserve">Contract issues </w:t>
      </w:r>
    </w:p>
    <w:p w14:paraId="00000020" w14:textId="77777777" w:rsidR="00A01519" w:rsidRDefault="00230340">
      <w:pPr>
        <w:ind w:left="284"/>
      </w:pPr>
      <w:r>
        <w:t>The lawsuit involving Greene’s Jewelry Company against Jennifer as the company’s litigants is legitimate because there is a breach of business contract since Lawson signed a confidentiality agreement not to provide or disclose any detail concerning the procedures or methods involving the production of Ever-Gold materials. The trade secret contract signed by the defendant indicates she is not allowed to reveal any details concerning the production process and the techniques of Ever-Gold parts and materials to the organization competitors or any other third parties. However, Lawson breached this trade secret contract when she revealed the essential details concerning the production procedures and technicalities of producing Ever-Gold commodities to the organization’s rival firm, Howell Company, with an exchange of employment with the organization.</w:t>
      </w:r>
    </w:p>
    <w:p w14:paraId="00000021" w14:textId="77777777" w:rsidR="00A01519" w:rsidRDefault="00230340">
      <w:pPr>
        <w:ind w:left="284" w:firstLine="0"/>
      </w:pPr>
      <w:r>
        <w:rPr>
          <w:i/>
        </w:rPr>
        <w:t>The Contract or operative employment laws which apply to the case of Greene’s Jewelry Company</w:t>
      </w:r>
    </w:p>
    <w:p w14:paraId="00000022" w14:textId="77777777" w:rsidR="00A01519" w:rsidRDefault="00230340">
      <w:pPr>
        <w:ind w:left="284"/>
      </w:pPr>
      <w:r>
        <w:t>Concerning our company’s lawsuit against Ms. Lawson. As the company’s litigants, we will argue that Jennifer Lawson violated the confidential contract both at the State level as well as the Federal level. Our company will provide the original signed secret contract and agreement document between our company and Jennifer. This evidence is crucial because it will prove that indeed Jennifer breached the Contract as well as violated the non-disclosure agreement when Lawson revealed the confidential details to Howell Jewelers concerning the process and techniques involved in the production of Ever-Gold materials with the employment exchange with Howell Company.</w:t>
      </w:r>
    </w:p>
    <w:p w14:paraId="00000023" w14:textId="77777777" w:rsidR="00A01519" w:rsidRDefault="00230340">
      <w:pPr>
        <w:ind w:left="284"/>
      </w:pPr>
      <w:r>
        <w:lastRenderedPageBreak/>
        <w:t xml:space="preserve">Further by breaching the confidential contact, Lawson also infringed the New Hampshire Business and Trade Confidential Laws and Regulations that forbid business organizations as well as private individuals from misappropriating as well as disclosing trade confidential documents or information to the third parties. Additionally, Jennifer Lawson violated the 1996 Economics Espionage Act that forbids the stealing of trade confidential documents or information knowing that the disclosure of the trade secret(s) will negatively impact the owner (Greene’s Jewelry Wholesale) (Mark, 2007). Therefore, Jennifer revealed the confidential documents as well as details pertaining the process and techniques of creating Green's Jewelry Company's Ever- Gold materials despite knowing that Howell Company is Greene’s Jewelry Company’s rival organization. During our presentation lead by our legal counsel, we will invite the court to look at the judgments of similar previous cases in the United States and other jurisdictions. For instance, in our </w:t>
      </w:r>
      <w:proofErr w:type="gramStart"/>
      <w:r>
        <w:t>affidavits  and</w:t>
      </w:r>
      <w:proofErr w:type="gramEnd"/>
      <w:r>
        <w:t xml:space="preserve"> arguments we will cite the case involving Kewanee Oil Company against </w:t>
      </w:r>
      <w:proofErr w:type="spellStart"/>
      <w:r>
        <w:t>Bicron</w:t>
      </w:r>
      <w:proofErr w:type="spellEnd"/>
      <w:r>
        <w:t xml:space="preserve">  Company whereby the Supreme Court of  the U.S delivered  the judgment in favor of Kewanee since the Supreme Court judges found </w:t>
      </w:r>
      <w:proofErr w:type="spellStart"/>
      <w:r>
        <w:t>Bicron</w:t>
      </w:r>
      <w:proofErr w:type="spellEnd"/>
      <w:r>
        <w:t xml:space="preserve"> committed illegalities and irregularities by misappropriating confidential trade information and violating the secret agreement (Lewis, 1973) .  </w:t>
      </w:r>
    </w:p>
    <w:p w14:paraId="00000024" w14:textId="77777777" w:rsidR="00A01519" w:rsidRDefault="00230340">
      <w:pPr>
        <w:ind w:left="284"/>
      </w:pPr>
      <w:r>
        <w:t xml:space="preserve">Concerning countersuit case filed by Jennifer against our company for unlawful employment termination, our company will be required to prove to magistrate(s) or judges that our organization's decision to remove the position of the junior executive </w:t>
      </w:r>
      <w:proofErr w:type="gramStart"/>
      <w:r>
        <w:t>secretary  was</w:t>
      </w:r>
      <w:proofErr w:type="gramEnd"/>
      <w:r>
        <w:t xml:space="preserve"> not based on Jennifer’s pregnancy  condition but on the company’s business reasons to cut the current expenditure by reducing payroll costs. </w:t>
      </w:r>
    </w:p>
    <w:p w14:paraId="00000025" w14:textId="77777777" w:rsidR="00A01519" w:rsidRDefault="00A01519">
      <w:pPr>
        <w:ind w:left="284"/>
      </w:pPr>
    </w:p>
    <w:p w14:paraId="00000026" w14:textId="77777777" w:rsidR="00A01519" w:rsidRDefault="00230340">
      <w:pPr>
        <w:ind w:firstLine="0"/>
        <w:rPr>
          <w:b/>
        </w:rPr>
      </w:pPr>
      <w:r>
        <w:rPr>
          <w:b/>
        </w:rPr>
        <w:t>B. Precedent</w:t>
      </w:r>
    </w:p>
    <w:p w14:paraId="00000027" w14:textId="77777777" w:rsidR="00A01519" w:rsidRDefault="00230340">
      <w:pPr>
        <w:ind w:left="284"/>
      </w:pPr>
      <w:r>
        <w:lastRenderedPageBreak/>
        <w:t xml:space="preserve">Regarding the wrongful termination lawsuit filed by Jennifer Lawson against Greene’s Company, we will cite various cases to support our argument during the presentation. First, we will prove that the organization’s action to layoff all junior executive secretaries was not based on Jennifer's pregnancy condition, but it was due to business reasons in which our firm wanted to reduce current expenditure. As precedent will use the similar cases such as </w:t>
      </w:r>
      <w:proofErr w:type="spellStart"/>
      <w:r>
        <w:t>Colicchio's</w:t>
      </w:r>
      <w:proofErr w:type="spellEnd"/>
      <w:r>
        <w:t xml:space="preserve"> case against Merck and Company, and Williams' lawsuit against the General Motors Company (Amie, 2012) to prove to the court that our company did not terminate Jennifer’s position unlawfully or wrongfully.</w:t>
      </w:r>
    </w:p>
    <w:p w14:paraId="00000028" w14:textId="77777777" w:rsidR="00A01519" w:rsidRDefault="00230340">
      <w:pPr>
        <w:ind w:left="284"/>
      </w:pPr>
      <w:r>
        <w:t xml:space="preserve">Regarding contract issues, we will use Mail &amp; Globe case against the Union of Canada’s paper, energy, and communications, and Kewanee Oil Co.’s against </w:t>
      </w:r>
      <w:proofErr w:type="spellStart"/>
      <w:r>
        <w:t>Bicron</w:t>
      </w:r>
      <w:proofErr w:type="spellEnd"/>
      <w:r>
        <w:t xml:space="preserve"> Company as our precedent (Lewis, 1973). This two cases will help our company to prove that indeed Jennifer breached the contract as well as violated the confidential agreement when she provided our company’s business secret to Howell Company in exchange for her employment at the organization. In the case Mail &amp; Globe versus the Union of Canada, the court ruled in favor of Mail and Globe and Wong as found guilty of breaching confidential settlement agreement.  </w:t>
      </w:r>
    </w:p>
    <w:p w14:paraId="00000029" w14:textId="77777777" w:rsidR="00A01519" w:rsidRDefault="00230340">
      <w:pPr>
        <w:ind w:firstLine="0"/>
        <w:rPr>
          <w:b/>
        </w:rPr>
      </w:pPr>
      <w:r>
        <w:rPr>
          <w:b/>
        </w:rPr>
        <w:t xml:space="preserve">C. Facts need to be Determined </w:t>
      </w:r>
    </w:p>
    <w:p w14:paraId="0000002A" w14:textId="4ECCDFDC" w:rsidR="00A01519" w:rsidRDefault="00230340">
      <w:pPr>
        <w:ind w:left="284"/>
      </w:pPr>
      <w:r>
        <w:t xml:space="preserve">As the company’s lawyers, we firmly believe that our company has a robust case against Jennifer for breaching the non-disclosure agreement or contract. Thus, we will ensure that we have a great defense against Lawson countersuit for employment discrimination (unlawful termination). Therefore, to prepare appropriately for both cases, we need to determine some crucial facts, evidence to be acquired as well as significant questions to be asked. Regarding Greene’s Jewelry Company against Jennifer will we obtain the confidential </w:t>
      </w:r>
      <w:r>
        <w:lastRenderedPageBreak/>
        <w:t xml:space="preserve">contract or non-disclosure agreement document signed both by our company and Lawson Jennifer to assist as prove that Jennifer breached the secret contract by providing crucial details involving the process and techniques of making Ever-Gold products to Howell Company which is our organization rival </w:t>
      </w:r>
      <w:proofErr w:type="gramStart"/>
      <w:r>
        <w:t>jeweler.</w:t>
      </w:r>
      <w:proofErr w:type="gramEnd"/>
      <w:r>
        <w:t xml:space="preserve"> For Jennifer countersuit against Greene's, we will seek the document(s) containing the removal of junior executive secretaries’ position across all the departments to prove that Jennifer Lawson's terminations were not unlawful nor discriminative and it was not based on her pregnancy but was done due to business reasons for reducing recurrent expenditure. Additionally, the following questions will be answered: Did the company follow all the due process before terminating Jennifer’s employment? What is the nature evidence available against our organization?</w:t>
      </w:r>
    </w:p>
    <w:p w14:paraId="24B4DE81" w14:textId="49C8BDB3" w:rsidR="005D5DAD" w:rsidRDefault="005D5DAD">
      <w:pPr>
        <w:ind w:left="284"/>
      </w:pPr>
    </w:p>
    <w:p w14:paraId="016775C6" w14:textId="77777777" w:rsidR="005D5DAD" w:rsidRDefault="005D5DAD" w:rsidP="005D5DAD">
      <w:pPr>
        <w:rPr>
          <w:b/>
        </w:rPr>
      </w:pPr>
      <w:r>
        <w:rPr>
          <w:b/>
        </w:rPr>
        <w:t>II. Client’s Case</w:t>
      </w:r>
    </w:p>
    <w:p w14:paraId="791DD4DD" w14:textId="77777777" w:rsidR="005D5DAD" w:rsidRDefault="005D5DAD" w:rsidP="005D5DAD">
      <w:pPr>
        <w:ind w:left="720"/>
        <w:rPr>
          <w:b/>
        </w:rPr>
      </w:pPr>
      <w:r>
        <w:rPr>
          <w:b/>
        </w:rPr>
        <w:t xml:space="preserve">D. Application of the Law to the Facts: </w:t>
      </w:r>
    </w:p>
    <w:p w14:paraId="087C1B60" w14:textId="77777777" w:rsidR="005D5DAD" w:rsidRDefault="005D5DAD" w:rsidP="005D5DAD">
      <w:pPr>
        <w:ind w:left="720"/>
      </w:pPr>
      <w:r>
        <w:t xml:space="preserve">Our company choice of precedent to argue in court against wrongful termination lawsuit and contract issues filed by Jennifer Lawson has its strengths and weaknesses. </w:t>
      </w:r>
    </w:p>
    <w:p w14:paraId="1C32DEE9" w14:textId="77777777" w:rsidR="005D5DAD" w:rsidRDefault="005D5DAD" w:rsidP="005D5DAD">
      <w:pPr>
        <w:ind w:left="720"/>
        <w:rPr>
          <w:b/>
        </w:rPr>
      </w:pPr>
      <w:r>
        <w:rPr>
          <w:b/>
        </w:rPr>
        <w:t>Strengths of the arguments</w:t>
      </w:r>
    </w:p>
    <w:p w14:paraId="669E4A7D" w14:textId="77777777" w:rsidR="005D5DAD" w:rsidRDefault="005D5DAD" w:rsidP="005D5DAD">
      <w:pPr>
        <w:ind w:left="720"/>
      </w:pPr>
      <w:r>
        <w:t xml:space="preserve">The case of wrongful termination lawsuit filed by Jennifer Lawson was an afterthought after Greene’s company had moved to court to report Jennifer Lawson for breach of contract. It is a clear indication that had it not been for the case against her; she was contented with being laid off. It is, therefore, true to say that the laying off was due to the organization’s decision to reduce working force and not based on Jennifer’s pregnancy condition. Jennifer Lawson did not go to court immediately after a layoff, which tells us that she was okay with the company decision at that moment. Just like the </w:t>
      </w:r>
      <w:r>
        <w:lastRenderedPageBreak/>
        <w:t xml:space="preserve">case of Merck &amp; Co vs. </w:t>
      </w:r>
      <w:proofErr w:type="spellStart"/>
      <w:r>
        <w:t>Colicchio</w:t>
      </w:r>
      <w:proofErr w:type="spellEnd"/>
      <w:r>
        <w:t xml:space="preserve">, Merck won the case on gender discrimination since </w:t>
      </w:r>
      <w:proofErr w:type="spellStart"/>
      <w:r>
        <w:t>Colicchio</w:t>
      </w:r>
      <w:proofErr w:type="spellEnd"/>
      <w:r>
        <w:t xml:space="preserve"> failed to prove that she was discriminated against because of her pregnancy. It is in our expectation that the court will not find the cause of action against Greene Company since previously the company had laid off individuals in accordance to company decision making. Those previously laid off had not complained; the case of Jennifer was only prompted since she was accused of breaching a contract with our company. </w:t>
      </w:r>
    </w:p>
    <w:p w14:paraId="619C7FF0" w14:textId="77777777" w:rsidR="005D5DAD" w:rsidRDefault="005D5DAD" w:rsidP="005D5DAD">
      <w:pPr>
        <w:ind w:left="720"/>
      </w:pPr>
      <w:r>
        <w:t xml:space="preserve">Citing Williams’s lawsuit against General Motors (Amie, 2012), our company will have a strong case to prove that Jennifer Lawson, while working for Greene, was never subjected to unfair deeds. Jennifer Lawson is, therefore, not in a position to claim that she was subjected to adverse employment action because of her pregnancy state. Jennifer Lawson was going to be laid off regardless of her pregnancy state. After she was laid off, the company did not go ahead to employ executive secretary, therefore, vindicating our company that the idea of laying off Jennifer Lawson was part of company idea to downsize and not because of her pregnancy state. </w:t>
      </w:r>
    </w:p>
    <w:p w14:paraId="4BE514EB" w14:textId="77777777" w:rsidR="005D5DAD" w:rsidRDefault="005D5DAD" w:rsidP="005D5DAD">
      <w:pPr>
        <w:ind w:left="720"/>
      </w:pPr>
      <w:r>
        <w:t xml:space="preserve">Our case against Jennifer Lawson for breach of contract is strong since we have a chance to prove that she did not honor our contract agreement. I believe a contract existed between Greene limited and Jennifer Lawson. Former globe and mail writer Jan Wong just like Jennifer Lawson had violated confidentiality agreement with her former employer. The agreement between Greene Limited and Jennifer Lawson do not allow her to disclose their contract agreements that include a formula for making their products. Jennifer Lawson knew that what she was doing was a breach of contract; that is why she used it as bargaining power to look for a job with Howell. Howell was the immediate </w:t>
      </w:r>
      <w:r>
        <w:lastRenderedPageBreak/>
        <w:t xml:space="preserve">competitor to Greene’s that is why Naomi White, the hiring manager, had conditions for Jennifer Lawson before she was hired. The case of </w:t>
      </w:r>
      <w:proofErr w:type="spellStart"/>
      <w:r>
        <w:t>Kawanee</w:t>
      </w:r>
      <w:proofErr w:type="spellEnd"/>
      <w:r>
        <w:t xml:space="preserve"> Oil </w:t>
      </w:r>
      <w:proofErr w:type="spellStart"/>
      <w:r>
        <w:t>co.v</w:t>
      </w:r>
      <w:proofErr w:type="spellEnd"/>
      <w:r>
        <w:t xml:space="preserve">. </w:t>
      </w:r>
      <w:proofErr w:type="spellStart"/>
      <w:r>
        <w:t>Bicron</w:t>
      </w:r>
      <w:proofErr w:type="spellEnd"/>
      <w:r>
        <w:t xml:space="preserve"> </w:t>
      </w:r>
      <w:proofErr w:type="spellStart"/>
      <w:r>
        <w:t>corp</w:t>
      </w:r>
      <w:proofErr w:type="spellEnd"/>
      <w:r>
        <w:t xml:space="preserve"> explains about trade secret laws (Lewis, 1973). Trade secret laws regulate against individuals from going against breaching contractual duties of confidentiality. Greene’s formula for making Ever-Gold was their secret, Jennifer Lawson is therefore liable for disclosing the formula to our competitor. Former employees of </w:t>
      </w:r>
      <w:proofErr w:type="spellStart"/>
      <w:r>
        <w:t>Harshaw</w:t>
      </w:r>
      <w:proofErr w:type="spellEnd"/>
      <w:r>
        <w:t xml:space="preserve"> as individuals had signed in their agreement never to disclose confidential information about their trade secrets.   </w:t>
      </w:r>
    </w:p>
    <w:p w14:paraId="2E606971" w14:textId="77777777" w:rsidR="005D5DAD" w:rsidRDefault="005D5DAD" w:rsidP="005D5DAD">
      <w:pPr>
        <w:ind w:left="720"/>
        <w:rPr>
          <w:b/>
        </w:rPr>
      </w:pPr>
      <w:r>
        <w:rPr>
          <w:b/>
        </w:rPr>
        <w:t xml:space="preserve">Weaknesses </w:t>
      </w:r>
    </w:p>
    <w:p w14:paraId="43B9E75F" w14:textId="77777777" w:rsidR="005D5DAD" w:rsidRDefault="005D5DAD" w:rsidP="005D5DAD">
      <w:pPr>
        <w:ind w:left="720"/>
      </w:pPr>
      <w:r>
        <w:t xml:space="preserve">Jennifer Lawson might argue based on her hardship conditions she was in at the time of breach of contract. Jennifer Lawson was pregnant and was expecting a baby. Therefore, she was in hard times and might have seen an opportunity to disclose confidential information to Howell out of desperation to look for a job. Jennifer Lawson might be pardoned, and Howell takes up the case damages. Jennifer Lawson might argue that she gave out the secrets of making Ever-Gold with conditions from Howell. The conditions provided by Howell is proof that they knew it was wrong to take up trade secrets about Greene’s Limited from Jennifer Lawson. Jennifer, therefore, can argue that Howell hiring manager took advantage of her condition. </w:t>
      </w:r>
    </w:p>
    <w:p w14:paraId="4DEE00C0" w14:textId="77777777" w:rsidR="005D5DAD" w:rsidRDefault="005D5DAD" w:rsidP="005D5DAD">
      <w:pPr>
        <w:ind w:left="720"/>
      </w:pPr>
      <w:r>
        <w:t xml:space="preserve">It is probable that our company will win this suit since from our arguments we have proved that there existed a contract, the expected requirement from Jennifer and our company regarding confidential information. We have also proved that our claim that Jennifer Lawson gave out our formula is true and that we have a legal defense to enforce the contract. </w:t>
      </w:r>
    </w:p>
    <w:p w14:paraId="3E9FAC67" w14:textId="77777777" w:rsidR="005D5DAD" w:rsidRDefault="005D5DAD" w:rsidP="005D5DAD">
      <w:pPr>
        <w:ind w:left="720"/>
        <w:rPr>
          <w:b/>
        </w:rPr>
      </w:pPr>
      <w:r>
        <w:rPr>
          <w:b/>
        </w:rPr>
        <w:lastRenderedPageBreak/>
        <w:t xml:space="preserve">E. Impact Assessment </w:t>
      </w:r>
    </w:p>
    <w:p w14:paraId="0EA5BF6A" w14:textId="77777777" w:rsidR="005D5DAD" w:rsidRDefault="005D5DAD" w:rsidP="005D5DAD">
      <w:pPr>
        <w:ind w:left="720"/>
      </w:pPr>
      <w:r>
        <w:t>Our case against Jennifer Lawson for breach of contract will definitely be bought positive and negative. The public might sympathize with Jennifer Lawson based on her pregnancy conditions. Some people might feel that for her to disclose confidential information about Greene Limited was justified since she did not have better options, and that was the best way she could be employed. The public might also cite unhappiness for breach of the employer-employee relationship that existed between Jennifer and Greene. The violations of the contract relationship between Jennifer and Greene might result in many viewing the organization to be bad and not in a position to provide its employees with the best conditions in case of termination. The public might also call for a boycott of our products and warn other employees from working with us. The public discourse might not reflect on the legal outcome of the case. The case will be heard in courts and might not consider public outcry unless the public co-joint themselves in the case. An example of cases where the court made its decision with public opinion in mind was the case of Brown v. Board of education</w:t>
      </w:r>
      <w:r>
        <w:rPr>
          <w:highlight w:val="white"/>
        </w:rPr>
        <w:t xml:space="preserve"> (Patterson &amp; </w:t>
      </w:r>
      <w:proofErr w:type="spellStart"/>
      <w:r>
        <w:rPr>
          <w:highlight w:val="white"/>
        </w:rPr>
        <w:t>Freehling</w:t>
      </w:r>
      <w:proofErr w:type="spellEnd"/>
      <w:r>
        <w:rPr>
          <w:highlight w:val="white"/>
        </w:rPr>
        <w:t>, 2001)</w:t>
      </w:r>
      <w:r>
        <w:t xml:space="preserve">. At the time of the ruling, most of the states in the union were abolishing de jure school segregation. Our case, however, will not be impacted by public opinion because the matter at hand is more of a private case involving competing companies. Jennifer Lawson is got up in the situation; therefore; her case might not receive public attention. </w:t>
      </w:r>
    </w:p>
    <w:p w14:paraId="07AD10BD" w14:textId="77777777" w:rsidR="005D5DAD" w:rsidRDefault="005D5DAD" w:rsidP="005D5DAD">
      <w:pPr>
        <w:ind w:left="720"/>
        <w:rPr>
          <w:b/>
        </w:rPr>
      </w:pPr>
      <w:r>
        <w:rPr>
          <w:b/>
        </w:rPr>
        <w:t xml:space="preserve">Damages alleviation </w:t>
      </w:r>
    </w:p>
    <w:p w14:paraId="1567E43A" w14:textId="77777777" w:rsidR="005D5DAD" w:rsidRDefault="005D5DAD" w:rsidP="005D5DAD">
      <w:pPr>
        <w:ind w:left="720"/>
      </w:pPr>
      <w:r>
        <w:t xml:space="preserve">Greene limited has to ensure that they regain public confidence and that they suffer less. The company has to prove to the public that Jennifer Lawson case was the first and that the company has always maintained their employer-employee relationship </w:t>
      </w:r>
      <w:r>
        <w:lastRenderedPageBreak/>
        <w:t xml:space="preserve">without breach of contract. The action that the court will take against Howell Limited will vindicate our company. If Howell limited will be guilty of taking advantage of Jennifer Lawson, then the public opinion about our actions to charge Jennifer might change. The public might get a chance to sympathize with us since we have lost our only competing edge in the industry, which is the formula for making Ever-Gold. </w:t>
      </w:r>
    </w:p>
    <w:p w14:paraId="4DAB3613" w14:textId="77777777" w:rsidR="005D5DAD" w:rsidRDefault="005D5DAD" w:rsidP="005D5DAD">
      <w:pPr>
        <w:ind w:left="720"/>
        <w:rPr>
          <w:b/>
        </w:rPr>
      </w:pPr>
      <w:r>
        <w:rPr>
          <w:b/>
        </w:rPr>
        <w:t>Recommendation to avoid such cases in future</w:t>
      </w:r>
    </w:p>
    <w:p w14:paraId="3C4648CD" w14:textId="77777777" w:rsidR="005D5DAD" w:rsidRDefault="005D5DAD" w:rsidP="005D5DAD">
      <w:pPr>
        <w:ind w:left="720"/>
      </w:pPr>
      <w:r>
        <w:t xml:space="preserve">The company should come up with strict rules regarding their trade secrets. The handling of formulas should not be left one individual, different individuals at different levels should handle the process of making these products. The idea of subdividing the process of making products will prevent instances where a single individual handles the formula. The company should also come up with reimbursements in case an individual is laid off before the end of their contract. Paying off for inconvenienced caused for early laying off will prevent cases where employees act out of anger eventually disclosing secret information.   </w:t>
      </w:r>
    </w:p>
    <w:p w14:paraId="352256C4" w14:textId="77777777" w:rsidR="005D5DAD" w:rsidRDefault="005D5DAD">
      <w:pPr>
        <w:ind w:left="284"/>
      </w:pPr>
    </w:p>
    <w:p w14:paraId="0000002B" w14:textId="77777777" w:rsidR="00A01519" w:rsidRDefault="00230340">
      <w:pPr>
        <w:tabs>
          <w:tab w:val="left" w:pos="3255"/>
        </w:tabs>
        <w:ind w:left="284"/>
      </w:pPr>
      <w:r>
        <w:tab/>
      </w:r>
    </w:p>
    <w:p w14:paraId="0000002C" w14:textId="77777777" w:rsidR="00A01519" w:rsidRDefault="00A01519">
      <w:pPr>
        <w:ind w:firstLine="0"/>
        <w:rPr>
          <w:b/>
        </w:rPr>
      </w:pPr>
    </w:p>
    <w:p w14:paraId="0000002D" w14:textId="77777777" w:rsidR="00A01519" w:rsidRDefault="00A01519">
      <w:pPr>
        <w:rPr>
          <w:b/>
        </w:rPr>
      </w:pPr>
    </w:p>
    <w:p w14:paraId="0000002E" w14:textId="77777777" w:rsidR="00A01519" w:rsidRDefault="00A01519">
      <w:pPr>
        <w:rPr>
          <w:b/>
        </w:rPr>
      </w:pPr>
    </w:p>
    <w:p w14:paraId="0000002F" w14:textId="77777777" w:rsidR="00A01519" w:rsidRDefault="00A01519">
      <w:pPr>
        <w:pBdr>
          <w:top w:val="nil"/>
          <w:left w:val="nil"/>
          <w:bottom w:val="nil"/>
          <w:right w:val="nil"/>
          <w:between w:val="nil"/>
        </w:pBdr>
        <w:ind w:firstLine="0"/>
        <w:jc w:val="center"/>
        <w:rPr>
          <w:color w:val="000000"/>
        </w:rPr>
      </w:pPr>
    </w:p>
    <w:p w14:paraId="00000030" w14:textId="77777777" w:rsidR="00A01519" w:rsidRDefault="00A01519">
      <w:pPr>
        <w:pBdr>
          <w:top w:val="nil"/>
          <w:left w:val="nil"/>
          <w:bottom w:val="nil"/>
          <w:right w:val="nil"/>
          <w:between w:val="nil"/>
        </w:pBdr>
        <w:ind w:firstLine="0"/>
        <w:jc w:val="center"/>
        <w:rPr>
          <w:color w:val="000000"/>
        </w:rPr>
      </w:pPr>
    </w:p>
    <w:p w14:paraId="00000031" w14:textId="77777777" w:rsidR="00A01519" w:rsidRDefault="00A01519">
      <w:pPr>
        <w:pBdr>
          <w:top w:val="nil"/>
          <w:left w:val="nil"/>
          <w:bottom w:val="nil"/>
          <w:right w:val="nil"/>
          <w:between w:val="nil"/>
        </w:pBdr>
        <w:ind w:firstLine="0"/>
        <w:jc w:val="center"/>
        <w:rPr>
          <w:color w:val="000000"/>
        </w:rPr>
      </w:pPr>
    </w:p>
    <w:p w14:paraId="00000032" w14:textId="77777777" w:rsidR="00A01519" w:rsidRDefault="00A01519">
      <w:pPr>
        <w:pBdr>
          <w:top w:val="nil"/>
          <w:left w:val="nil"/>
          <w:bottom w:val="nil"/>
          <w:right w:val="nil"/>
          <w:between w:val="nil"/>
        </w:pBdr>
        <w:ind w:firstLine="0"/>
        <w:rPr>
          <w:color w:val="000000"/>
        </w:rPr>
      </w:pPr>
    </w:p>
    <w:p w14:paraId="00000033" w14:textId="77777777" w:rsidR="00A01519" w:rsidRDefault="00230340">
      <w:pPr>
        <w:pBdr>
          <w:top w:val="nil"/>
          <w:left w:val="nil"/>
          <w:bottom w:val="nil"/>
          <w:right w:val="nil"/>
          <w:between w:val="nil"/>
        </w:pBdr>
        <w:ind w:firstLine="0"/>
        <w:jc w:val="center"/>
        <w:rPr>
          <w:color w:val="000000"/>
        </w:rPr>
      </w:pPr>
      <w:r>
        <w:rPr>
          <w:color w:val="000000"/>
        </w:rPr>
        <w:lastRenderedPageBreak/>
        <w:t xml:space="preserve">References </w:t>
      </w:r>
    </w:p>
    <w:p w14:paraId="00000034" w14:textId="77777777" w:rsidR="00A01519" w:rsidRDefault="00230340">
      <w:pPr>
        <w:pBdr>
          <w:top w:val="nil"/>
          <w:left w:val="nil"/>
          <w:bottom w:val="nil"/>
          <w:right w:val="nil"/>
          <w:between w:val="nil"/>
        </w:pBdr>
        <w:ind w:left="1004" w:hanging="720"/>
        <w:rPr>
          <w:color w:val="000000"/>
        </w:rPr>
      </w:pPr>
      <w:r>
        <w:rPr>
          <w:color w:val="000000"/>
        </w:rPr>
        <w:t xml:space="preserve">Amie, V., (2012). Williams vs. The General Motors Company: providing a change for the sexual harassment plaintiffs. </w:t>
      </w:r>
      <w:r>
        <w:rPr>
          <w:i/>
          <w:color w:val="000000"/>
        </w:rPr>
        <w:t>State of Ohio law journal, 61</w:t>
      </w:r>
      <w:r>
        <w:rPr>
          <w:color w:val="000000"/>
        </w:rPr>
        <w:t>(4), 1559.</w:t>
      </w:r>
    </w:p>
    <w:p w14:paraId="00000035" w14:textId="77777777" w:rsidR="00A01519" w:rsidRDefault="00230340">
      <w:pPr>
        <w:pBdr>
          <w:top w:val="nil"/>
          <w:left w:val="nil"/>
          <w:bottom w:val="nil"/>
          <w:right w:val="nil"/>
          <w:between w:val="nil"/>
        </w:pBdr>
        <w:ind w:left="1004" w:hanging="720"/>
        <w:rPr>
          <w:color w:val="000000"/>
        </w:rPr>
      </w:pPr>
      <w:r>
        <w:rPr>
          <w:color w:val="000000"/>
        </w:rPr>
        <w:t xml:space="preserve">Leo, K., (1968). Sex-Based Discrimination in the United States Law III: under Title VII of </w:t>
      </w:r>
      <w:proofErr w:type="gramStart"/>
      <w:r>
        <w:rPr>
          <w:color w:val="000000"/>
        </w:rPr>
        <w:t>the  Civil</w:t>
      </w:r>
      <w:proofErr w:type="gramEnd"/>
      <w:r>
        <w:rPr>
          <w:color w:val="000000"/>
        </w:rPr>
        <w:t xml:space="preserve"> Rights Act of 1964. </w:t>
      </w:r>
      <w:r>
        <w:rPr>
          <w:i/>
          <w:color w:val="000000"/>
        </w:rPr>
        <w:t>Hastings LJ, 22</w:t>
      </w:r>
      <w:r>
        <w:rPr>
          <w:color w:val="000000"/>
        </w:rPr>
        <w:t>(3), 220-350.</w:t>
      </w:r>
    </w:p>
    <w:p w14:paraId="00000036" w14:textId="77777777" w:rsidR="00A01519" w:rsidRDefault="00230340">
      <w:pPr>
        <w:pBdr>
          <w:top w:val="nil"/>
          <w:left w:val="nil"/>
          <w:bottom w:val="nil"/>
          <w:right w:val="nil"/>
          <w:between w:val="nil"/>
        </w:pBdr>
        <w:ind w:left="1004" w:hanging="720"/>
        <w:rPr>
          <w:color w:val="000000"/>
        </w:rPr>
      </w:pPr>
      <w:r>
        <w:rPr>
          <w:color w:val="000000"/>
        </w:rPr>
        <w:t xml:space="preserve">Lewis, P., (1973). Kewanee Oil Company versus </w:t>
      </w:r>
      <w:proofErr w:type="spellStart"/>
      <w:r>
        <w:rPr>
          <w:color w:val="000000"/>
        </w:rPr>
        <w:t>Bicron</w:t>
      </w:r>
      <w:proofErr w:type="spellEnd"/>
      <w:r>
        <w:rPr>
          <w:color w:val="000000"/>
        </w:rPr>
        <w:t xml:space="preserve"> Corporation. 1-75</w:t>
      </w:r>
    </w:p>
    <w:p w14:paraId="00000037" w14:textId="77777777" w:rsidR="00A01519" w:rsidRDefault="00230340">
      <w:pPr>
        <w:pBdr>
          <w:top w:val="nil"/>
          <w:left w:val="nil"/>
          <w:bottom w:val="nil"/>
          <w:right w:val="nil"/>
          <w:between w:val="nil"/>
        </w:pBdr>
        <w:ind w:left="1004" w:hanging="720"/>
        <w:rPr>
          <w:color w:val="000000"/>
        </w:rPr>
      </w:pPr>
      <w:r>
        <w:rPr>
          <w:color w:val="000000"/>
        </w:rPr>
        <w:t xml:space="preserve">Mark, H., (2007). Protection </w:t>
      </w:r>
      <w:proofErr w:type="gramStart"/>
      <w:r>
        <w:rPr>
          <w:color w:val="000000"/>
        </w:rPr>
        <w:t>of  United</w:t>
      </w:r>
      <w:proofErr w:type="gramEnd"/>
      <w:r>
        <w:rPr>
          <w:color w:val="000000"/>
        </w:rPr>
        <w:t xml:space="preserve"> States Business secret assets: Crucial amendments to the 1996 Economic Espionage Act.</w:t>
      </w:r>
    </w:p>
    <w:p w14:paraId="00000038" w14:textId="0B0892A0" w:rsidR="00A01519" w:rsidRDefault="00230340">
      <w:pPr>
        <w:pBdr>
          <w:top w:val="nil"/>
          <w:left w:val="nil"/>
          <w:bottom w:val="nil"/>
          <w:right w:val="nil"/>
          <w:between w:val="nil"/>
        </w:pBdr>
        <w:ind w:left="1004" w:hanging="720"/>
        <w:rPr>
          <w:color w:val="000000"/>
        </w:rPr>
      </w:pPr>
      <w:r>
        <w:rPr>
          <w:color w:val="000000"/>
        </w:rPr>
        <w:t xml:space="preserve">Michelle, D., (2013). The Workplace Reproductive Rights, Federal Litigation, and Notions of Equality. </w:t>
      </w:r>
      <w:r>
        <w:rPr>
          <w:i/>
          <w:color w:val="000000"/>
        </w:rPr>
        <w:t>In APSA 2013 Annual Meeting Paper</w:t>
      </w:r>
      <w:r>
        <w:rPr>
          <w:color w:val="000000"/>
        </w:rPr>
        <w:t>, 1-29.</w:t>
      </w:r>
    </w:p>
    <w:p w14:paraId="62EDBB58" w14:textId="2D17CBBF" w:rsidR="005D5DAD" w:rsidRPr="005D5DAD" w:rsidRDefault="005D5DAD" w:rsidP="005D5DAD">
      <w:pPr>
        <w:ind w:left="720" w:hanging="720"/>
      </w:pPr>
      <w:r>
        <w:rPr>
          <w:highlight w:val="white"/>
        </w:rPr>
        <w:t xml:space="preserve">Patterson, J. T., &amp; </w:t>
      </w:r>
      <w:proofErr w:type="spellStart"/>
      <w:r>
        <w:rPr>
          <w:highlight w:val="white"/>
        </w:rPr>
        <w:t>Freehling</w:t>
      </w:r>
      <w:proofErr w:type="spellEnd"/>
      <w:r>
        <w:rPr>
          <w:highlight w:val="white"/>
        </w:rPr>
        <w:t>, W. W. (2001). </w:t>
      </w:r>
      <w:r>
        <w:rPr>
          <w:i/>
          <w:highlight w:val="white"/>
        </w:rPr>
        <w:t>Brown v. Board of Education: A civil rights milestone and its troubled legacy</w:t>
      </w:r>
      <w:r>
        <w:rPr>
          <w:highlight w:val="white"/>
        </w:rPr>
        <w:t>. Oxford University Press.</w:t>
      </w:r>
    </w:p>
    <w:p w14:paraId="00000039" w14:textId="77777777" w:rsidR="00A01519" w:rsidRDefault="00230340">
      <w:pPr>
        <w:pBdr>
          <w:top w:val="nil"/>
          <w:left w:val="nil"/>
          <w:bottom w:val="nil"/>
          <w:right w:val="nil"/>
          <w:between w:val="nil"/>
        </w:pBdr>
        <w:ind w:left="1004" w:hanging="720"/>
        <w:rPr>
          <w:color w:val="000000"/>
        </w:rPr>
      </w:pPr>
      <w:r>
        <w:rPr>
          <w:color w:val="000000"/>
        </w:rPr>
        <w:t xml:space="preserve">Rapp, A., &amp; Bernard, T. (2015). The Consequences of the Pregnancy Discrimination Act on work Environment-From the social and legal perspective. </w:t>
      </w:r>
      <w:r>
        <w:rPr>
          <w:i/>
          <w:color w:val="000000"/>
        </w:rPr>
        <w:t>Law Review, 36</w:t>
      </w:r>
      <w:r>
        <w:rPr>
          <w:color w:val="000000"/>
        </w:rPr>
        <w:t>(1), 93-144.</w:t>
      </w:r>
    </w:p>
    <w:p w14:paraId="0000003A" w14:textId="77777777" w:rsidR="00A01519" w:rsidRDefault="00230340">
      <w:pPr>
        <w:pBdr>
          <w:top w:val="nil"/>
          <w:left w:val="nil"/>
          <w:bottom w:val="nil"/>
          <w:right w:val="nil"/>
          <w:between w:val="nil"/>
        </w:pBdr>
        <w:ind w:left="1004" w:hanging="720"/>
        <w:rPr>
          <w:color w:val="000000"/>
        </w:rPr>
      </w:pPr>
      <w:r>
        <w:rPr>
          <w:color w:val="000000"/>
        </w:rPr>
        <w:t xml:space="preserve">Steven, W., (2015). </w:t>
      </w:r>
      <w:r>
        <w:rPr>
          <w:i/>
          <w:color w:val="000000"/>
        </w:rPr>
        <w:t xml:space="preserve">Policy on Family Leave: The Political Economy </w:t>
      </w:r>
      <w:proofErr w:type="spellStart"/>
      <w:r>
        <w:rPr>
          <w:i/>
          <w:color w:val="000000"/>
        </w:rPr>
        <w:t>ofFamily</w:t>
      </w:r>
      <w:proofErr w:type="spellEnd"/>
      <w:r>
        <w:rPr>
          <w:i/>
          <w:color w:val="000000"/>
        </w:rPr>
        <w:t xml:space="preserve"> and Work in the United States.</w:t>
      </w:r>
      <w:r>
        <w:rPr>
          <w:color w:val="000000"/>
        </w:rPr>
        <w:t xml:space="preserve"> Routledge.</w:t>
      </w:r>
    </w:p>
    <w:p w14:paraId="0000003B" w14:textId="77777777" w:rsidR="00A01519" w:rsidRDefault="00A01519">
      <w:pPr>
        <w:pBdr>
          <w:top w:val="nil"/>
          <w:left w:val="nil"/>
          <w:bottom w:val="nil"/>
          <w:right w:val="nil"/>
          <w:between w:val="nil"/>
        </w:pBdr>
        <w:ind w:left="1004" w:hanging="720"/>
        <w:rPr>
          <w:color w:val="000000"/>
        </w:rPr>
      </w:pPr>
    </w:p>
    <w:p w14:paraId="0000003C" w14:textId="77777777" w:rsidR="00A01519" w:rsidRDefault="00A01519">
      <w:pPr>
        <w:pBdr>
          <w:top w:val="nil"/>
          <w:left w:val="nil"/>
          <w:bottom w:val="nil"/>
          <w:right w:val="nil"/>
          <w:between w:val="nil"/>
        </w:pBdr>
        <w:ind w:firstLine="0"/>
        <w:jc w:val="center"/>
        <w:rPr>
          <w:color w:val="000000"/>
        </w:rPr>
      </w:pPr>
    </w:p>
    <w:p w14:paraId="0000003D" w14:textId="77777777" w:rsidR="00A01519" w:rsidRDefault="00A01519">
      <w:pPr>
        <w:pBdr>
          <w:top w:val="nil"/>
          <w:left w:val="nil"/>
          <w:bottom w:val="nil"/>
          <w:right w:val="nil"/>
          <w:between w:val="nil"/>
        </w:pBdr>
        <w:ind w:firstLine="0"/>
        <w:jc w:val="center"/>
        <w:rPr>
          <w:color w:val="000000"/>
        </w:rPr>
      </w:pPr>
    </w:p>
    <w:p w14:paraId="0000003E" w14:textId="77777777" w:rsidR="00A01519" w:rsidRDefault="00A01519">
      <w:pPr>
        <w:pBdr>
          <w:top w:val="nil"/>
          <w:left w:val="nil"/>
          <w:bottom w:val="nil"/>
          <w:right w:val="nil"/>
          <w:between w:val="nil"/>
        </w:pBdr>
        <w:ind w:firstLine="0"/>
        <w:jc w:val="center"/>
        <w:rPr>
          <w:color w:val="000000"/>
        </w:rPr>
      </w:pPr>
    </w:p>
    <w:p w14:paraId="0000003F" w14:textId="77777777" w:rsidR="00A01519" w:rsidRDefault="00A01519">
      <w:pPr>
        <w:pBdr>
          <w:top w:val="nil"/>
          <w:left w:val="nil"/>
          <w:bottom w:val="nil"/>
          <w:right w:val="nil"/>
          <w:between w:val="nil"/>
        </w:pBdr>
        <w:ind w:firstLine="0"/>
        <w:rPr>
          <w:color w:val="000000"/>
        </w:rPr>
      </w:pPr>
    </w:p>
    <w:sectPr w:rsidR="00A01519">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C97E2" w14:textId="77777777" w:rsidR="00FB1222" w:rsidRDefault="00FB1222">
      <w:pPr>
        <w:spacing w:line="240" w:lineRule="auto"/>
      </w:pPr>
      <w:r>
        <w:separator/>
      </w:r>
    </w:p>
  </w:endnote>
  <w:endnote w:type="continuationSeparator" w:id="0">
    <w:p w14:paraId="17133B9C" w14:textId="77777777" w:rsidR="00FB1222" w:rsidRDefault="00FB12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C8FA5" w14:textId="77777777" w:rsidR="00FB1222" w:rsidRDefault="00FB1222">
      <w:pPr>
        <w:spacing w:line="240" w:lineRule="auto"/>
      </w:pPr>
      <w:r>
        <w:separator/>
      </w:r>
    </w:p>
  </w:footnote>
  <w:footnote w:type="continuationSeparator" w:id="0">
    <w:p w14:paraId="12FB3D4D" w14:textId="77777777" w:rsidR="00FB1222" w:rsidRDefault="00FB12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0" w14:textId="77777777" w:rsidR="00A01519" w:rsidRDefault="00230340">
    <w:pPr>
      <w:pBdr>
        <w:top w:val="nil"/>
        <w:left w:val="nil"/>
        <w:bottom w:val="nil"/>
        <w:right w:val="nil"/>
        <w:between w:val="nil"/>
      </w:pBdr>
      <w:spacing w:line="240" w:lineRule="auto"/>
      <w:ind w:firstLine="0"/>
      <w:rPr>
        <w:color w:val="000000"/>
      </w:rPr>
    </w:pPr>
    <w:r>
      <w:rPr>
        <w:color w:val="000000"/>
      </w:rPr>
      <w:t>MILESTONE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1" w14:textId="77777777" w:rsidR="00A01519" w:rsidRDefault="00230340">
    <w:pPr>
      <w:pBdr>
        <w:top w:val="nil"/>
        <w:left w:val="nil"/>
        <w:bottom w:val="nil"/>
        <w:right w:val="nil"/>
        <w:between w:val="nil"/>
      </w:pBdr>
      <w:spacing w:line="240" w:lineRule="auto"/>
      <w:ind w:firstLine="0"/>
      <w:rPr>
        <w:color w:val="000000"/>
      </w:rPr>
    </w:pPr>
    <w:r>
      <w:rPr>
        <w:color w:val="000000"/>
      </w:rPr>
      <w:t>Running head: MILESTONE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917767"/>
    <w:multiLevelType w:val="multilevel"/>
    <w:tmpl w:val="E8C0C7A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519"/>
    <w:rsid w:val="00230340"/>
    <w:rsid w:val="005D5DAD"/>
    <w:rsid w:val="00A01519"/>
    <w:rsid w:val="00AB3605"/>
    <w:rsid w:val="00FB1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3D5D"/>
  <w15:docId w15:val="{C509EA9B-7664-4C61-B43A-7ED2B902F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ind w:firstLine="0"/>
      <w:jc w:val="center"/>
      <w:outlineLvl w:val="0"/>
    </w:pPr>
    <w:rPr>
      <w:b/>
    </w:rPr>
  </w:style>
  <w:style w:type="paragraph" w:styleId="Heading2">
    <w:name w:val="heading 2"/>
    <w:basedOn w:val="Normal"/>
    <w:next w:val="Normal"/>
    <w:pPr>
      <w:keepNext/>
      <w:keepLines/>
      <w:ind w:firstLine="0"/>
      <w:outlineLvl w:val="1"/>
    </w:pPr>
    <w:rPr>
      <w:b/>
    </w:rPr>
  </w:style>
  <w:style w:type="paragraph" w:styleId="Heading3">
    <w:name w:val="heading 3"/>
    <w:basedOn w:val="Normal"/>
    <w:next w:val="Normal"/>
    <w:pPr>
      <w:keepNext/>
      <w:keepLines/>
      <w:outlineLvl w:val="2"/>
    </w:pPr>
    <w:rPr>
      <w:b/>
    </w:rPr>
  </w:style>
  <w:style w:type="paragraph" w:styleId="Heading4">
    <w:name w:val="heading 4"/>
    <w:basedOn w:val="Normal"/>
    <w:next w:val="Normal"/>
    <w:pPr>
      <w:keepNext/>
      <w:keepLines/>
      <w:outlineLvl w:val="3"/>
    </w:pPr>
    <w:rPr>
      <w:b/>
      <w:i/>
    </w:rPr>
  </w:style>
  <w:style w:type="paragraph" w:styleId="Heading5">
    <w:name w:val="heading 5"/>
    <w:basedOn w:val="Normal"/>
    <w:next w:val="Normal"/>
    <w:pPr>
      <w:keepNext/>
      <w:keepLines/>
      <w:outlineLvl w:val="4"/>
    </w:pPr>
    <w:rPr>
      <w:i/>
    </w:rPr>
  </w:style>
  <w:style w:type="paragraph" w:styleId="Heading6">
    <w:name w:val="heading 6"/>
    <w:basedOn w:val="Normal"/>
    <w:next w:val="Normal"/>
    <w:pPr>
      <w:keepNext/>
      <w:keepLines/>
      <w:spacing w:before="40"/>
      <w:ind w:firstLine="0"/>
      <w:outlineLvl w:val="5"/>
    </w:pPr>
    <w:rPr>
      <w:color w:val="6E6E6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0"/>
      <w:ind w:firstLine="0"/>
      <w:jc w:val="center"/>
    </w:pPr>
  </w:style>
  <w:style w:type="paragraph" w:styleId="Subtitle">
    <w:name w:val="Subtitle"/>
    <w:basedOn w:val="Normal"/>
    <w:next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2791</Words>
  <Characters>15915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McCullough</dc:creator>
  <cp:lastModifiedBy>Lauren McCullough</cp:lastModifiedBy>
  <cp:revision>2</cp:revision>
  <dcterms:created xsi:type="dcterms:W3CDTF">2019-07-16T19:47:00Z</dcterms:created>
  <dcterms:modified xsi:type="dcterms:W3CDTF">2019-07-16T19:47:00Z</dcterms:modified>
</cp:coreProperties>
</file>